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5099"/>
        <w:gridCol w:w="1202"/>
        <w:gridCol w:w="1107"/>
      </w:tblGrid>
      <w:tr w:rsidR="00AF58D4" w:rsidRPr="00AF58D4" w:rsidTr="00AF58D4">
        <w:trPr>
          <w:trHeight w:val="75"/>
        </w:trPr>
        <w:tc>
          <w:tcPr>
            <w:tcW w:w="64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D4" w:rsidRPr="00AF58D4" w:rsidRDefault="00AF58D4" w:rsidP="00AF58D4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</w:pPr>
            <w:r w:rsidRPr="00AF58D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>Diputados</w:t>
            </w:r>
          </w:p>
        </w:tc>
        <w:tc>
          <w:tcPr>
            <w:tcW w:w="2998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D4" w:rsidRPr="00AF58D4" w:rsidRDefault="00AF58D4" w:rsidP="00AF58D4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</w:pPr>
            <w:r w:rsidRPr="00AF58D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>CONSIDERACION Y APROBACION CON MODIFICACIONES CONJUNTAMENTE PARA LOS EXPEDIENTES 0149-S-2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 xml:space="preserve">015, 3685-S-2015, 6252-D-2015, </w:t>
            </w:r>
            <w:r w:rsidR="00E61BC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 xml:space="preserve">6435-D-2015, </w:t>
            </w:r>
            <w:r w:rsidRPr="00AF58D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>2794-D-2016, , 4441-D-2016, , 5020-D-2016, , 5120-D-2016 y</w:t>
            </w:r>
          </w:p>
        </w:tc>
        <w:tc>
          <w:tcPr>
            <w:tcW w:w="707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D4" w:rsidRPr="00AF58D4" w:rsidRDefault="00AF58D4" w:rsidP="00AF58D4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</w:pPr>
            <w:r w:rsidRPr="00AF58D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>26/04/2017</w:t>
            </w:r>
          </w:p>
        </w:tc>
        <w:tc>
          <w:tcPr>
            <w:tcW w:w="651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D4" w:rsidRPr="00AF58D4" w:rsidRDefault="00AF58D4" w:rsidP="00AF58D4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</w:pPr>
            <w:r w:rsidRPr="00AF58D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>MEDIA SANCION</w:t>
            </w:r>
          </w:p>
        </w:tc>
      </w:tr>
      <w:tr w:rsidR="00AF58D4" w:rsidRPr="00AF58D4" w:rsidTr="00AF58D4">
        <w:trPr>
          <w:trHeight w:val="75"/>
        </w:trPr>
        <w:tc>
          <w:tcPr>
            <w:tcW w:w="644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D4" w:rsidRPr="00AF58D4" w:rsidRDefault="00AF58D4" w:rsidP="00AF58D4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</w:pPr>
            <w:r w:rsidRPr="00AF58D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>Senado</w:t>
            </w:r>
          </w:p>
        </w:tc>
        <w:tc>
          <w:tcPr>
            <w:tcW w:w="2998" w:type="pc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D4" w:rsidRPr="00AF58D4" w:rsidRDefault="00AF58D4" w:rsidP="00AF58D4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</w:pPr>
            <w:r w:rsidRPr="00AF58D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>VUELVE A SENADO - CONJUNTAMENTE PARA LOS EXPEDIENTES 0149-S-20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 xml:space="preserve">15, 3685-S-2015, 6252-D-2015, 6435-D-2015, </w:t>
            </w:r>
            <w:r w:rsidR="00E61BC9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 xml:space="preserve">2794-D-2016, </w:t>
            </w:r>
            <w:bookmarkStart w:id="0" w:name="_GoBack"/>
            <w:bookmarkEnd w:id="0"/>
            <w:r w:rsidRPr="00AF58D4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AR"/>
              </w:rPr>
              <w:t>4441-D-2016, , 5020-D-2016, , 5120-D-2016 y</w:t>
            </w:r>
          </w:p>
        </w:tc>
        <w:tc>
          <w:tcPr>
            <w:tcW w:w="707" w:type="pct"/>
            <w:shd w:val="clear" w:color="auto" w:fill="F9F9F9"/>
            <w:vAlign w:val="center"/>
            <w:hideMark/>
          </w:tcPr>
          <w:p w:rsidR="00AF58D4" w:rsidRPr="00AF58D4" w:rsidRDefault="00AF58D4" w:rsidP="00AF58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51" w:type="pct"/>
            <w:shd w:val="clear" w:color="auto" w:fill="F9F9F9"/>
            <w:vAlign w:val="center"/>
            <w:hideMark/>
          </w:tcPr>
          <w:p w:rsidR="00AF58D4" w:rsidRPr="00AF58D4" w:rsidRDefault="00AF58D4" w:rsidP="00AF58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bCs/>
          <w:color w:val="000000"/>
          <w:sz w:val="24"/>
          <w:szCs w:val="24"/>
          <w:u w:val="single"/>
          <w:lang w:eastAsia="es-AR"/>
        </w:rPr>
        <w:t>CODIGO CIVIL Y COMERCIAL DE LA NACION -LEY 26994-. MODIFICACION SOBRE PRIVACION DE LA RESPONSABILIDAD PARENTAL.</w:t>
      </w:r>
      <w:r w:rsidRPr="00AF58D4"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  <w:t> 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 xml:space="preserve"> “Artículo 1º.- </w:t>
      </w:r>
      <w:proofErr w:type="spellStart"/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Incorpórase</w:t>
      </w:r>
      <w:proofErr w:type="spellEnd"/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 xml:space="preserve"> al Código Civil y Comercial de la Nación el siguiente artículo 700 bis: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Artículo 700 bis:  Cualquiera de los progenitores queda privado de la responsabilidad parental por: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a) ser condenado como autor, coautor, instigador o cómplice del delito de homicidio agravado por el vínculo o mediando violencia de género, conforme lo previsto en el artículo 80, incisos 1 y 11 del Código Penal de la Nación, contra el otro progenitor o contra el hijo o hija de que se trata.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b) ser condenado como autor, coautor, instigador o cómplice del delito de lesiones previstas en el artículo 91 del Código Penal, contra el otro progenitor; </w:t>
      </w:r>
      <w:r w:rsidRPr="00AF58D4">
        <w:rPr>
          <w:rFonts w:ascii="Helvetica" w:eastAsia="Times New Roman" w:hAnsi="Helvetica" w:cs="Helvetica"/>
          <w:bCs/>
          <w:iCs/>
          <w:color w:val="000000"/>
          <w:sz w:val="24"/>
          <w:szCs w:val="24"/>
          <w:lang w:eastAsia="es-AR"/>
        </w:rPr>
        <w:t>o contra el hijo o hija de que se trata.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c) Ser condenado como autor, coautor, instigador o cómplice del delito contra la integridad sexual previsto en el artículo 119 del Código penal de la Nación, cometido contra un hijo o hija </w:t>
      </w:r>
      <w:r w:rsidRPr="00AF58D4">
        <w:rPr>
          <w:rFonts w:ascii="Helvetica" w:eastAsia="Times New Roman" w:hAnsi="Helvetica" w:cs="Helvetica"/>
          <w:bCs/>
          <w:iCs/>
          <w:color w:val="000000"/>
          <w:sz w:val="24"/>
          <w:szCs w:val="24"/>
          <w:lang w:eastAsia="es-AR"/>
        </w:rPr>
        <w:t>de que se trata.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La privación opera también cuando los delitos descriptos se configuren en grado de tentativa</w:t>
      </w:r>
      <w:r w:rsidRPr="00AF58D4">
        <w:rPr>
          <w:rFonts w:ascii="Helvetica" w:eastAsia="Times New Roman" w:hAnsi="Helvetica" w:cs="Helvetica"/>
          <w:bCs/>
          <w:iCs/>
          <w:color w:val="000000"/>
          <w:sz w:val="24"/>
          <w:szCs w:val="24"/>
          <w:lang w:eastAsia="es-AR"/>
        </w:rPr>
        <w:t>, si correspondiere.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La condena penal firme produce de pleno derecho la privación de la responsabilidad parental. La sentencia definitiva debe ser comunicada al Ministerio Público a los fines de lo previsto en el art. 703, teniéndose en cuenta la asistencia letrada establecida en el artículo 26, 2do. párrafo, y a la autoridad de protección de los derechos de las niñas, niños y adolescentes competente en cada jurisdicción a fin de que proceda en sede civil a los efectos de este artículo. Se deberá observar lo previsto en el artículo 27 de la Ley 26.061.”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 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 xml:space="preserve">Art. 2º – </w:t>
      </w:r>
      <w:proofErr w:type="spellStart"/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Modifícase</w:t>
      </w:r>
      <w:proofErr w:type="spellEnd"/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 xml:space="preserve"> el artículo 702 del Código Civil y Comercial de la Nación el que quedará redactado de la siguiente manera: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lastRenderedPageBreak/>
        <w:t>Artículo 702: Suspensión del ejercicio. El ejercicio de la responsabilidad parental queda suspendido mientras dure:</w:t>
      </w:r>
      <w:r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 xml:space="preserve"> </w:t>
      </w: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a) La declaración de ausencia con presunción de fallecimiento; 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b) El plazo de la condena a reclusión y la prisión por más de tres años;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c) La declaración por sentencia firme de la limitación de la capacidad por razones graves de salud mental que impiden al progenitor dicho ejercicio; d) La convivencia del hijo o hija con un tercero, separado de sus progenitores por razones graves, de conformidad con lo establecido en leyes especiales;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 e) El procesamiento penal por los delitos mencionados en al artículo 700 bis. El auto de procesamiento </w:t>
      </w:r>
      <w:r w:rsidRPr="00AF58D4">
        <w:rPr>
          <w:rFonts w:ascii="Helvetica" w:eastAsia="Times New Roman" w:hAnsi="Helvetica" w:cs="Helvetica"/>
          <w:bCs/>
          <w:iCs/>
          <w:color w:val="000000"/>
          <w:sz w:val="24"/>
          <w:szCs w:val="24"/>
          <w:lang w:eastAsia="es-AR"/>
        </w:rPr>
        <w:t>o acto equivalente</w:t>
      </w: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 debe ser comunicado al Ministerio Público a los fines de lo previsto en el artículo 703, teniéndose en cuenta la asistencia letrada establecida en el artículo 26, 2do párrafo y a la autoridad de protección de los derechos de las niñas, niños y adolescentes competente en cada jurisdicción, a efectos de que proceda en sede civil, a los fines de este artículo. Se deberá observar lo previsto en el artículo 27 de la ley 26.061. No se procederá a suspender el ejercicio de la responsabilidad parental en los términos del presente inciso, en los casos del artículo 700 bis incisos a) y b), cuando en los hechos investigados o en sus antecedentes mediare violencia de género.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 Art. 3º – La presente ley será aplicable a las situaciones jurídicas pendientes o en curso de ejecución.</w:t>
      </w:r>
    </w:p>
    <w:p w:rsidR="00AF58D4" w:rsidRPr="00AF58D4" w:rsidRDefault="00AF58D4" w:rsidP="00AF58D4">
      <w:pPr>
        <w:spacing w:after="0" w:line="360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  <w:r w:rsidRPr="00AF58D4">
        <w:rPr>
          <w:rFonts w:ascii="Helvetica" w:eastAsia="Times New Roman" w:hAnsi="Helvetica" w:cs="Helvetica"/>
          <w:iCs/>
          <w:color w:val="000000"/>
          <w:sz w:val="24"/>
          <w:szCs w:val="24"/>
          <w:lang w:eastAsia="es-AR"/>
        </w:rPr>
        <w:t>Art. 4º – Comuníquese al Poder Ejecutivo.</w:t>
      </w:r>
    </w:p>
    <w:p w:rsidR="002128F6" w:rsidRPr="00AF58D4" w:rsidRDefault="00E61BC9"/>
    <w:sectPr w:rsidR="002128F6" w:rsidRPr="00AF5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D4"/>
    <w:rsid w:val="00032609"/>
    <w:rsid w:val="00081163"/>
    <w:rsid w:val="005E1C01"/>
    <w:rsid w:val="006965BB"/>
    <w:rsid w:val="00786D45"/>
    <w:rsid w:val="00AF58D4"/>
    <w:rsid w:val="00E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12A9"/>
  <w15:chartTrackingRefBased/>
  <w15:docId w15:val="{DA384734-2860-4887-94C4-50074BF1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F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26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45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850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1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452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80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13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11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161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6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62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713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382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88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16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92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90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856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 la Torre</dc:creator>
  <cp:keywords/>
  <dc:description/>
  <cp:lastModifiedBy>Natalia de la Torre</cp:lastModifiedBy>
  <cp:revision>2</cp:revision>
  <dcterms:created xsi:type="dcterms:W3CDTF">2017-04-28T16:22:00Z</dcterms:created>
  <dcterms:modified xsi:type="dcterms:W3CDTF">2017-04-28T16:25:00Z</dcterms:modified>
</cp:coreProperties>
</file>